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checks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Standard Temperature and Pressure (STP) daily air blowers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cold water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pipes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tanks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low level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mountings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Carbon Dioxide Extinguishing Systems Verify the liquid level gauge of low pressure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(i.e.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Each pump should start automatically by a drop-in pressure checks</w:t>
            </w:r>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All visual inspection completion to ensure that all the equipment are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Default="00420E1D" w:rsidP="00420E1D">
      <w:pPr>
        <w:rPr>
          <w:b/>
          <w:bCs/>
          <w:color w:val="215868" w:themeColor="accent5" w:themeShade="80"/>
        </w:rPr>
      </w:pPr>
    </w:p>
    <w:p w14:paraId="1191715C" w14:textId="77777777" w:rsidR="00565EA3" w:rsidRPr="00420E1D" w:rsidRDefault="00565EA3"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lastRenderedPageBreak/>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All types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Operate console, vacuum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Medical gas all secondary supply systems checks</w:t>
            </w:r>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All systems attention indicators checks</w:t>
            </w:r>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All traps, valves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25081">
              <w:rPr>
                <w:rFonts w:cs="Arial"/>
                <w:color w:val="000000"/>
              </w:rPr>
            </w:r>
            <w:r w:rsidR="00425081">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21F2" w14:textId="77777777" w:rsidR="00425081" w:rsidRDefault="00425081">
      <w:r>
        <w:separator/>
      </w:r>
    </w:p>
    <w:p w14:paraId="24A313DD" w14:textId="77777777" w:rsidR="00425081" w:rsidRDefault="00425081"/>
  </w:endnote>
  <w:endnote w:type="continuationSeparator" w:id="0">
    <w:p w14:paraId="1E55FD78" w14:textId="77777777" w:rsidR="00425081" w:rsidRDefault="00425081">
      <w:r>
        <w:continuationSeparator/>
      </w:r>
    </w:p>
    <w:p w14:paraId="63E9B6B7" w14:textId="77777777" w:rsidR="00425081" w:rsidRDefault="0042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5C16744A" w:rsidR="009210BF" w:rsidRDefault="00425081"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12A3A">
          <w:rPr>
            <w:sz w:val="16"/>
            <w:szCs w:val="16"/>
            <w:lang w:val="en-AU"/>
          </w:rPr>
          <w:t>EOM-ZO0-TP-000017</w:t>
        </w:r>
        <w:r w:rsidR="0007124A" w:rsidRPr="0007124A">
          <w:rPr>
            <w:sz w:val="16"/>
            <w:szCs w:val="16"/>
            <w:lang w:val="en-AU"/>
          </w:rPr>
          <w:t xml:space="preserve"> Rev 00</w:t>
        </w:r>
        <w:r w:rsidR="00253389">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12A3A">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12A3A">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D475" w14:textId="77777777" w:rsidR="00425081" w:rsidRDefault="00425081">
      <w:r>
        <w:separator/>
      </w:r>
    </w:p>
    <w:p w14:paraId="7DD46152" w14:textId="77777777" w:rsidR="00425081" w:rsidRDefault="00425081"/>
  </w:footnote>
  <w:footnote w:type="continuationSeparator" w:id="0">
    <w:p w14:paraId="2862295F" w14:textId="77777777" w:rsidR="00425081" w:rsidRDefault="00425081">
      <w:r>
        <w:continuationSeparator/>
      </w:r>
    </w:p>
    <w:p w14:paraId="58D9DD9A" w14:textId="77777777" w:rsidR="00425081" w:rsidRDefault="00425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5DBD89AE" w:rsidR="009210BF" w:rsidRDefault="00253389" w:rsidP="00AC1B11">
          <w:pPr>
            <w:pStyle w:val="HeadingCenter"/>
            <w:jc w:val="both"/>
          </w:pPr>
          <w:r w:rsidRPr="009A054C">
            <w:rPr>
              <w:b w:val="0"/>
              <w:noProof/>
            </w:rPr>
            <w:drawing>
              <wp:anchor distT="0" distB="0" distL="114300" distR="114300" simplePos="0" relativeHeight="251659264" behindDoc="0" locked="0" layoutInCell="1" allowOverlap="1" wp14:anchorId="7372975E" wp14:editId="7B9788CF">
                <wp:simplePos x="0" y="0"/>
                <wp:positionH relativeFrom="column">
                  <wp:posOffset>-428625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9DADA6B" w:rsidR="009210BF" w:rsidRPr="006A25F8" w:rsidRDefault="00312A3A" w:rsidP="00EB1F02">
          <w:pPr>
            <w:pStyle w:val="CPDocTitle"/>
            <w:rPr>
              <w:kern w:val="32"/>
              <w:sz w:val="24"/>
              <w:szCs w:val="24"/>
              <w:lang w:val="en-GB"/>
            </w:rPr>
          </w:pPr>
          <w:r w:rsidRPr="00312A3A">
            <w:rPr>
              <w:kern w:val="32"/>
              <w:sz w:val="24"/>
              <w:szCs w:val="24"/>
              <w:lang w:val="en-GB"/>
            </w:rPr>
            <w:t>Systems Monitoring/Daily Rounds Checklist - Mechanical Systems - Municipal</w:t>
          </w:r>
        </w:p>
      </w:tc>
    </w:tr>
  </w:tbl>
  <w:p w14:paraId="0FE4F66F" w14:textId="786BE1AC"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389"/>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081"/>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8F6DD71-D4EB-4E2D-B1E2-2FDC8845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33</TotalTime>
  <Pages>7</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22762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EOM-ZO0-TP-000017 Rev 001</dc:subject>
  <dc:creator>Rivamonte, Leonnito (RMP)</dc:creator>
  <cp:keywords>ᅟ</cp:keywords>
  <cp:lastModifiedBy>Jancil Saldhana</cp:lastModifiedBy>
  <cp:revision>54</cp:revision>
  <cp:lastPrinted>2017-10-17T10:11:00Z</cp:lastPrinted>
  <dcterms:created xsi:type="dcterms:W3CDTF">2019-12-16T06:44:00Z</dcterms:created>
  <dcterms:modified xsi:type="dcterms:W3CDTF">2021-08-20T12:31:00Z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